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center"/>
        <w:rPr>
          <w:vertAlign w:val="baseline"/>
        </w:rPr>
      </w:pPr>
      <w:r w:rsidDel="00000000" w:rsidR="00000000" w:rsidRPr="00000000">
        <w:rPr>
          <w:b w:val="1"/>
          <w:vertAlign w:val="baseline"/>
          <w:rtl w:val="0"/>
        </w:rPr>
        <w:t xml:space="preserve">BANDIRMA ONYEDİ EYLÜL ÜNİVERSİTESİ </w:t>
      </w:r>
      <w:r w:rsidDel="00000000" w:rsidR="00000000" w:rsidRPr="00000000">
        <w:rPr>
          <w:rtl w:val="0"/>
        </w:rPr>
      </w:r>
    </w:p>
    <w:p w:rsidR="00000000" w:rsidDel="00000000" w:rsidP="00000000" w:rsidRDefault="00000000" w:rsidRPr="00000000">
      <w:pPr>
        <w:pBdr/>
        <w:contextualSpacing w:val="0"/>
        <w:jc w:val="center"/>
        <w:rPr>
          <w:vertAlign w:val="baseline"/>
        </w:rPr>
      </w:pPr>
      <w:r w:rsidDel="00000000" w:rsidR="00000000" w:rsidRPr="00000000">
        <w:rPr>
          <w:b w:val="1"/>
          <w:vertAlign w:val="baseline"/>
          <w:rtl w:val="0"/>
        </w:rPr>
        <w:t xml:space="preserve">MUAFİYET VE İNTİBAK İŞLEMLERİ YÖNERGESİ</w:t>
      </w:r>
      <w:r w:rsidDel="00000000" w:rsidR="00000000" w:rsidRPr="00000000">
        <w:rPr>
          <w:rtl w:val="0"/>
        </w:rPr>
      </w:r>
    </w:p>
    <w:p w:rsidR="00000000" w:rsidDel="00000000" w:rsidP="00000000" w:rsidRDefault="00000000" w:rsidRPr="00000000">
      <w:pPr>
        <w:pBdr/>
        <w:contextualSpacing w:val="0"/>
        <w:jc w:val="center"/>
        <w:rPr>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Amaç</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MADDE 1- </w:t>
      </w:r>
      <w:r w:rsidDel="00000000" w:rsidR="00000000" w:rsidRPr="00000000">
        <w:rPr>
          <w:vertAlign w:val="baseline"/>
          <w:rtl w:val="0"/>
        </w:rPr>
        <w:t xml:space="preserve">(1)</w:t>
      </w:r>
      <w:r w:rsidDel="00000000" w:rsidR="00000000" w:rsidRPr="00000000">
        <w:rPr>
          <w:b w:val="1"/>
          <w:vertAlign w:val="baseline"/>
          <w:rtl w:val="0"/>
        </w:rPr>
        <w:t xml:space="preserve"> </w:t>
      </w:r>
      <w:r w:rsidDel="00000000" w:rsidR="00000000" w:rsidRPr="00000000">
        <w:rPr>
          <w:vertAlign w:val="baseline"/>
          <w:rtl w:val="0"/>
        </w:rPr>
        <w:t xml:space="preserve">Bu Yönergenin amacı; Bandırma Onyedi Eylül Üniversitesine kayıt hakkı kazanan öğrencilerin daha önce, uzaktan eğitim programları hariç, Bandırma Onyedi Eylül Üniversitesi dahil olmak üzere herhangi bir Yükseköğretim Kurumundan alıp başardığı derslerin muafiyet ve yarıyıl/yıl intibak esaslarını belirlemektir.</w:t>
      </w:r>
    </w:p>
    <w:p w:rsidR="00000000" w:rsidDel="00000000" w:rsidP="00000000" w:rsidRDefault="00000000" w:rsidRPr="00000000">
      <w:pPr>
        <w:pBdr/>
        <w:contextualSpacing w:val="0"/>
        <w:jc w:val="both"/>
        <w:rPr>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Kapsam</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MADDE 2- </w:t>
      </w:r>
      <w:r w:rsidDel="00000000" w:rsidR="00000000" w:rsidRPr="00000000">
        <w:rPr>
          <w:vertAlign w:val="baseline"/>
          <w:rtl w:val="0"/>
        </w:rPr>
        <w:t xml:space="preserve">(1)</w:t>
      </w:r>
      <w:r w:rsidDel="00000000" w:rsidR="00000000" w:rsidRPr="00000000">
        <w:rPr>
          <w:b w:val="1"/>
          <w:vertAlign w:val="baseline"/>
          <w:rtl w:val="0"/>
        </w:rPr>
        <w:t xml:space="preserve"> </w:t>
      </w:r>
      <w:r w:rsidDel="00000000" w:rsidR="00000000" w:rsidRPr="00000000">
        <w:rPr>
          <w:vertAlign w:val="baseline"/>
          <w:rtl w:val="0"/>
        </w:rPr>
        <w:t xml:space="preserve">Bu Yönerge;</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a) Yatay/dikey geçiş yaparak öğrenimlerine devam etmek isteyen Önlisans, Lisans, Lisansüstü öğrencilerinin,</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b) Daha önce herhangi bir Yükseköğretim Kurumu’nda öğrenci veya mezun iken Bandırma Onyedi Eylül Üniversitesi’ne yeniden kayıt yaptırmaya hak kazanan öğrencilerin,</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c) Bandırma Onyedi Eylül Üniversitesi programlarından birinde kayıtlı bulunan öğrencilerden, Yükseköğretim Kurulu (YÖK) tarafından denkliği kabul edilen başka bir yükseköğretim kurumunun programlarında özel öğrenci statüsünde ders alanlar, Farabi Programı, Uluslararası Değişim Programları ile yurtdışında öğrenim gören öğrencilerin,</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ç) Yukarıda belirtilen veya benzeri durumda olup öğrenimlerine devam edecek öğrencilerin, daha önce alıp, başarılı oldukları derslerden muafiyetleri ve intibaklarıyla ilgili işlemlerini kapsar.</w:t>
      </w:r>
    </w:p>
    <w:p w:rsidR="00000000" w:rsidDel="00000000" w:rsidP="00000000" w:rsidRDefault="00000000" w:rsidRPr="00000000">
      <w:pPr>
        <w:pBdr/>
        <w:contextualSpacing w:val="0"/>
        <w:jc w:val="both"/>
        <w:rPr>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Dayanak</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MADDE 3- </w:t>
      </w:r>
      <w:r w:rsidDel="00000000" w:rsidR="00000000" w:rsidRPr="00000000">
        <w:rPr>
          <w:vertAlign w:val="baseline"/>
          <w:rtl w:val="0"/>
        </w:rPr>
        <w:t xml:space="preserve">(1)</w:t>
      </w:r>
      <w:r w:rsidDel="00000000" w:rsidR="00000000" w:rsidRPr="00000000">
        <w:rPr>
          <w:b w:val="1"/>
          <w:vertAlign w:val="baseline"/>
          <w:rtl w:val="0"/>
        </w:rPr>
        <w:t xml:space="preserve"> </w:t>
      </w:r>
      <w:r w:rsidDel="00000000" w:rsidR="00000000" w:rsidRPr="00000000">
        <w:rPr>
          <w:vertAlign w:val="baseline"/>
          <w:rtl w:val="0"/>
        </w:rPr>
        <w:t xml:space="preserve">Bu Yönerge Bandırma Onyedi Eylül Üniversitesi Ön Lisans, Lisans ve Lisansüstü  Eğitim-Öğretim ve Sınav Yönetmeliği’ne dayanılarak hazırlanmıştır.</w:t>
      </w:r>
    </w:p>
    <w:p w:rsidR="00000000" w:rsidDel="00000000" w:rsidP="00000000" w:rsidRDefault="00000000" w:rsidRPr="00000000">
      <w:pPr>
        <w:pBdr/>
        <w:contextualSpacing w:val="0"/>
        <w:jc w:val="both"/>
        <w:rPr>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Tanımlar</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MADDE 4- </w:t>
      </w:r>
      <w:r w:rsidDel="00000000" w:rsidR="00000000" w:rsidRPr="00000000">
        <w:rPr>
          <w:vertAlign w:val="baseline"/>
          <w:rtl w:val="0"/>
        </w:rPr>
        <w:t xml:space="preserve">(1)</w:t>
      </w:r>
      <w:r w:rsidDel="00000000" w:rsidR="00000000" w:rsidRPr="00000000">
        <w:rPr>
          <w:b w:val="1"/>
          <w:vertAlign w:val="baseline"/>
          <w:rtl w:val="0"/>
        </w:rPr>
        <w:t xml:space="preserve"> </w:t>
      </w:r>
      <w:r w:rsidDel="00000000" w:rsidR="00000000" w:rsidRPr="00000000">
        <w:rPr>
          <w:vertAlign w:val="baseline"/>
          <w:rtl w:val="0"/>
        </w:rPr>
        <w:t xml:space="preserve">Bu Yönergede geçen;</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a) Dikey Geçiş Sınavı (DGS); ÖSYM tarafından yapılan, öğrencilerin Meslek Yüksekokulları ile Açıköğretim ön lisans programlarından mezun olanların, bitirdikleri alanların devamı niteliğindeki lisans programlarına dikey geçiş yapmaları amacı ile yapılan sınavı,</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b) İntibak İşlemi; Bandırma Onyedi Eylül Üniversitesi’ne kayıt hakkı kazanan öğrencilerin daha önce Bandırma Onyedi Eylül Üniversitesi dahil herhangi bir yükseköğretim kurumundan alıp başardığı ve muaf sayıldığı derslere göre devam edecekleri yarıyıl/yılı belirleme işlemini,</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c) İntibak Komisyonu; İlgili Dekanlık/Müdürlükçe bölümler bazında oluşturulan muafiyet ve intibak taleplerinin incelendiği en az üç üyeden oluşan İntibak Komisyonunu,</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d) Muafiyet; daha önce alınmış ve başarılmış ders/derslerin yerine, kredi ve içerik uyumuna göre müfredatta bulunan ders/derslerin denkliğinin kabul edilmesi durumunu,</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e) YÖK; Yükseköğretim Kurulu Başkanlığını</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f) ÖSYM; Öğrenci, Seçme ve Yerleştirme Başkanlığını</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g) Üniversite; Bandırma Onyedi Eylül Üniversitesini, </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h) Yönetim Kurulu; İlgili Birimin Yönetim Kurulunu</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ı)Daire Başkanlığı: Bandırma </w:t>
      </w:r>
      <w:r w:rsidDel="00000000" w:rsidR="00000000" w:rsidRPr="00000000">
        <w:rPr>
          <w:color w:val="000000"/>
          <w:vertAlign w:val="baseline"/>
          <w:rtl w:val="0"/>
        </w:rPr>
        <w:t xml:space="preserve">Onyedi Eylül</w:t>
      </w:r>
      <w:r w:rsidDel="00000000" w:rsidR="00000000" w:rsidRPr="00000000">
        <w:rPr>
          <w:vertAlign w:val="baseline"/>
          <w:rtl w:val="0"/>
        </w:rPr>
        <w:t xml:space="preserve"> Üniversitesini Öğrenci İşleri Daire Başkanlığı’nı,</w:t>
      </w:r>
    </w:p>
    <w:p w:rsidR="00000000" w:rsidDel="00000000" w:rsidP="00000000" w:rsidRDefault="00000000" w:rsidRPr="00000000">
      <w:pPr>
        <w:pBdr/>
        <w:ind w:firstLine="708"/>
        <w:contextualSpacing w:val="0"/>
        <w:jc w:val="both"/>
        <w:rPr>
          <w:vertAlign w:val="baseline"/>
        </w:rPr>
      </w:pPr>
      <w:r w:rsidDel="00000000" w:rsidR="00000000" w:rsidRPr="00000000">
        <w:rPr>
          <w:rtl w:val="0"/>
        </w:rPr>
      </w:r>
    </w:p>
    <w:p w:rsidR="00000000" w:rsidDel="00000000" w:rsidP="00000000" w:rsidRDefault="00000000" w:rsidRPr="00000000">
      <w:pPr>
        <w:pBdr/>
        <w:ind w:firstLine="708"/>
        <w:contextualSpacing w:val="0"/>
        <w:jc w:val="both"/>
        <w:rPr>
          <w:sz w:val="22"/>
          <w:szCs w:val="22"/>
          <w:vertAlign w:val="baseline"/>
        </w:rPr>
      </w:pPr>
      <w:r w:rsidDel="00000000" w:rsidR="00000000" w:rsidRPr="00000000">
        <w:rPr>
          <w:vertAlign w:val="baseline"/>
          <w:rtl w:val="0"/>
        </w:rPr>
        <w:t xml:space="preserve"> ifade eder.</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 </w:t>
      </w:r>
    </w:p>
    <w:p w:rsidR="00000000" w:rsidDel="00000000" w:rsidP="00000000" w:rsidRDefault="00000000" w:rsidRPr="00000000">
      <w:pPr>
        <w:pBdr/>
        <w:ind w:firstLine="708"/>
        <w:contextualSpacing w:val="0"/>
        <w:jc w:val="both"/>
        <w:rPr>
          <w:b w:val="0"/>
          <w:vertAlign w:val="baseline"/>
        </w:rPr>
      </w:pPr>
      <w:r w:rsidDel="00000000" w:rsidR="00000000" w:rsidRPr="00000000">
        <w:rPr>
          <w:b w:val="1"/>
          <w:vertAlign w:val="baseline"/>
          <w:rtl w:val="0"/>
        </w:rPr>
        <w:t xml:space="preserve">Başvuru esasları ve süresi</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MADDE 5- </w:t>
      </w:r>
      <w:r w:rsidDel="00000000" w:rsidR="00000000" w:rsidRPr="00000000">
        <w:rPr>
          <w:vertAlign w:val="baseline"/>
          <w:rtl w:val="0"/>
        </w:rPr>
        <w:t xml:space="preserve">(1) Üniversiteye kayıt hakkı kazanan öğrencilerin, daha önce devam ettikleri yüksek öğretim programında başarılı oldukları derslerden muaf olabilmeleri ve diğer yüksek öğretim kurumlarından alınan derslerin geçer notlarının muaf olarak değerlendirilebilmesi için, Dekanlığa/Müdürlüğe muafiyet istedikleri dersleri belirten bir dilekçe ve ekine daha önce öğrenim gördüğü yükseköğretim kurumu tarafından onaylanmış (mühürlü, kaşeli ve imzalı) ders içerikleri ve not döküm belgesi (transkript) eklenmesi gerekir.</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(2)</w:t>
      </w:r>
      <w:r w:rsidDel="00000000" w:rsidR="00000000" w:rsidRPr="00000000">
        <w:rPr>
          <w:b w:val="1"/>
          <w:vertAlign w:val="baseline"/>
          <w:rtl w:val="0"/>
        </w:rPr>
        <w:t xml:space="preserve"> </w:t>
      </w:r>
      <w:r w:rsidDel="00000000" w:rsidR="00000000" w:rsidRPr="00000000">
        <w:rPr>
          <w:vertAlign w:val="baseline"/>
          <w:rtl w:val="0"/>
        </w:rPr>
        <w:t xml:space="preserve">Öğrenciler, daha önce almış ve başarmış oldukları ders/dersler karşılığında hangi ders/derslerden muaf olmak istediklerini başvuru dilekçelerinde belirtmek zorundadır.</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(3)</w:t>
      </w:r>
      <w:r w:rsidDel="00000000" w:rsidR="00000000" w:rsidRPr="00000000">
        <w:rPr>
          <w:b w:val="1"/>
          <w:vertAlign w:val="baseline"/>
          <w:rtl w:val="0"/>
        </w:rPr>
        <w:t xml:space="preserve"> </w:t>
      </w:r>
      <w:r w:rsidDel="00000000" w:rsidR="00000000" w:rsidRPr="00000000">
        <w:rPr>
          <w:vertAlign w:val="baseline"/>
          <w:rtl w:val="0"/>
        </w:rPr>
        <w:t xml:space="preserve">Öğrenciler, daha önce almış oldukları ve başarmış oldukları birden fazla derse karşılık muadil ders/derslerden muafiyet isteğinde bulunabilirler.</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(4)</w:t>
      </w:r>
      <w:r w:rsidDel="00000000" w:rsidR="00000000" w:rsidRPr="00000000">
        <w:rPr>
          <w:b w:val="1"/>
          <w:vertAlign w:val="baseline"/>
          <w:rtl w:val="0"/>
        </w:rPr>
        <w:t xml:space="preserve"> </w:t>
      </w:r>
      <w:r w:rsidDel="00000000" w:rsidR="00000000" w:rsidRPr="00000000">
        <w:rPr>
          <w:vertAlign w:val="baseline"/>
          <w:rtl w:val="0"/>
        </w:rPr>
        <w:t xml:space="preserve">Kurum içi veya dışından Lisans Yerleştirme Sınavı ile gelen öğrencilerin başvuruları üniversiteye ders kaydını yaptırdığı yılın/yarıyılın ikinci haftasının sonuna kadar yapılır. Diğer başvurular sadece ilan edilen süre içinde yapılır. Sonraki tarihlerde yapılacak muafiyet talepleri kabul edilmez.</w:t>
      </w:r>
    </w:p>
    <w:p w:rsidR="00000000" w:rsidDel="00000000" w:rsidP="00000000" w:rsidRDefault="00000000" w:rsidRPr="00000000">
      <w:pPr>
        <w:pBdr/>
        <w:contextualSpacing w:val="0"/>
        <w:jc w:val="both"/>
        <w:rPr>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Muafiyet esasları</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MADDE 6- </w:t>
      </w:r>
      <w:r w:rsidDel="00000000" w:rsidR="00000000" w:rsidRPr="00000000">
        <w:rPr>
          <w:vertAlign w:val="baseline"/>
          <w:rtl w:val="0"/>
        </w:rPr>
        <w:t xml:space="preserve">(1)</w:t>
      </w:r>
      <w:r w:rsidDel="00000000" w:rsidR="00000000" w:rsidRPr="00000000">
        <w:rPr>
          <w:b w:val="1"/>
          <w:vertAlign w:val="baseline"/>
          <w:rtl w:val="0"/>
        </w:rPr>
        <w:t xml:space="preserve"> </w:t>
      </w:r>
      <w:r w:rsidDel="00000000" w:rsidR="00000000" w:rsidRPr="00000000">
        <w:rPr>
          <w:vertAlign w:val="baseline"/>
          <w:rtl w:val="0"/>
        </w:rPr>
        <w:t xml:space="preserve">Muafiyet isteği İntibak Komisyonu tarafından incelenerek bir uyum/intibak programı düzenlenir. Düzenlenen bu uyum/intibak programı ilgili yönetim kurulunca değerlendirilerek daha önce alıp da başarılı olduğu ve muafiyet talep ettiği tüm dersler için karara bağlanır ve öğrencilerin uyum/intibakları ilgili yarıyıl/yıla yapılır.</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(2)</w:t>
      </w:r>
      <w:r w:rsidDel="00000000" w:rsidR="00000000" w:rsidRPr="00000000">
        <w:rPr>
          <w:b w:val="1"/>
          <w:vertAlign w:val="baseline"/>
          <w:rtl w:val="0"/>
        </w:rPr>
        <w:t xml:space="preserve"> </w:t>
      </w:r>
      <w:r w:rsidDel="00000000" w:rsidR="00000000" w:rsidRPr="00000000">
        <w:rPr>
          <w:vertAlign w:val="baseline"/>
          <w:rtl w:val="0"/>
        </w:rPr>
        <w:t xml:space="preserve">Muafiyet talebi ilgili yönetim kurulu tarafından karara bağlanıncaya kadar öğrenciler, muafiyet talebinde bulunduğu ders/derslere devam ederler.</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(3)</w:t>
      </w:r>
      <w:r w:rsidDel="00000000" w:rsidR="00000000" w:rsidRPr="00000000">
        <w:rPr>
          <w:b w:val="1"/>
          <w:vertAlign w:val="baseline"/>
          <w:rtl w:val="0"/>
        </w:rPr>
        <w:t xml:space="preserve"> </w:t>
      </w:r>
      <w:r w:rsidDel="00000000" w:rsidR="00000000" w:rsidRPr="00000000">
        <w:rPr>
          <w:vertAlign w:val="baseline"/>
          <w:rtl w:val="0"/>
        </w:rPr>
        <w:t xml:space="preserve">Muafiyet istenen dersin; zorunlu veya seçmeli olması durumuna bakılmaksızın; kredi ve ders içeriği uyumu/yeterliliği incelenir.</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(4)</w:t>
      </w:r>
      <w:r w:rsidDel="00000000" w:rsidR="00000000" w:rsidRPr="00000000">
        <w:rPr>
          <w:b w:val="1"/>
          <w:vertAlign w:val="baseline"/>
          <w:rtl w:val="0"/>
        </w:rPr>
        <w:t xml:space="preserve"> </w:t>
      </w:r>
      <w:r w:rsidDel="00000000" w:rsidR="00000000" w:rsidRPr="00000000">
        <w:rPr>
          <w:vertAlign w:val="baseline"/>
          <w:rtl w:val="0"/>
        </w:rPr>
        <w:t xml:space="preserve">Lisans Yerleştirme Sınavı’yla üniversiteye yeni kayıt yaptıran öğrencilerin daha önce başka bir üniversitede devam ettiği ön lisans/lisans programında başarılı olduğu derslerden muafiyet isteğinde bulunmaları halinde; ön lisans programında son bir yılın, lisans programında ise son iki yılın toplam kredisi kadar dersleri üniversitemizde okuyacak şekilde intibak yapılır.</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(5)</w:t>
      </w:r>
      <w:r w:rsidDel="00000000" w:rsidR="00000000" w:rsidRPr="00000000">
        <w:rPr>
          <w:b w:val="1"/>
          <w:vertAlign w:val="baseline"/>
          <w:rtl w:val="0"/>
        </w:rPr>
        <w:t xml:space="preserve"> </w:t>
      </w:r>
      <w:r w:rsidDel="00000000" w:rsidR="00000000" w:rsidRPr="00000000">
        <w:rPr>
          <w:vertAlign w:val="baseline"/>
          <w:rtl w:val="0"/>
        </w:rPr>
        <w:t xml:space="preserve">Öğrencilerin geldiği programda alıp da başarılı olduğu ve muafiyet talep ettiği dersler içerik bakımından uygunsa muaf sayılır ve not döküm belgesine harfli not olarak işlenir. Muaf olunan derslerin notları Ağırlıklı Başarı Ortalaması hesaplamasında değerlendirmeye katılır.</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(6)</w:t>
      </w:r>
      <w:r w:rsidDel="00000000" w:rsidR="00000000" w:rsidRPr="00000000">
        <w:rPr>
          <w:b w:val="1"/>
          <w:vertAlign w:val="baseline"/>
          <w:rtl w:val="0"/>
        </w:rPr>
        <w:t xml:space="preserve"> </w:t>
      </w:r>
      <w:r w:rsidDel="00000000" w:rsidR="00000000" w:rsidRPr="00000000">
        <w:rPr>
          <w:vertAlign w:val="baseline"/>
          <w:rtl w:val="0"/>
        </w:rPr>
        <w:t xml:space="preserve">Muaf olunan derslerin kredi toplamı, ders programında gösterilen yarıyıl kredi yükünün en az %75’inden fazla ise öğrenci bir sonraki yıla intibak ettirilir. Dikey Geçiş Sınavı (DGS) ile gelen öğrencilerin intibakları üçüncü sınıfa yapılır. İlgili yarıyılda muaf olunmayan dersler öncelikle alınır.</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(7)</w:t>
      </w:r>
      <w:r w:rsidDel="00000000" w:rsidR="00000000" w:rsidRPr="00000000">
        <w:rPr>
          <w:b w:val="1"/>
          <w:vertAlign w:val="baseline"/>
          <w:rtl w:val="0"/>
        </w:rPr>
        <w:t xml:space="preserve"> </w:t>
      </w:r>
      <w:r w:rsidDel="00000000" w:rsidR="00000000" w:rsidRPr="00000000">
        <w:rPr>
          <w:vertAlign w:val="baseline"/>
          <w:rtl w:val="0"/>
        </w:rPr>
        <w:t xml:space="preserve">Açık Öğretim Fakültesinde öğrenim görülen dersler (2547 sayılı Kanunun 5/ı maddesinde belirlenen dersler hariç) için muafiyet ve intibak işlemleri yapılmaz.</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(8)</w:t>
      </w:r>
      <w:r w:rsidDel="00000000" w:rsidR="00000000" w:rsidRPr="00000000">
        <w:rPr>
          <w:b w:val="1"/>
          <w:vertAlign w:val="baseline"/>
          <w:rtl w:val="0"/>
        </w:rPr>
        <w:t xml:space="preserve"> </w:t>
      </w:r>
      <w:r w:rsidDel="00000000" w:rsidR="00000000" w:rsidRPr="00000000">
        <w:rPr>
          <w:vertAlign w:val="baseline"/>
          <w:rtl w:val="0"/>
        </w:rPr>
        <w:t xml:space="preserve">Açık Öğretim Programlarında verilen Atatürk İlkeleri ve İnkılap Tarihi, Türk Dili ve Yabancı Dil derslerini başaran öğrenciler içerik bakımından uyumlu olmak kaydıyla bu derslerden iki yarıyıl muaf sayılabilirler.</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(9)</w:t>
      </w:r>
      <w:r w:rsidDel="00000000" w:rsidR="00000000" w:rsidRPr="00000000">
        <w:rPr>
          <w:b w:val="1"/>
          <w:vertAlign w:val="baseline"/>
          <w:rtl w:val="0"/>
        </w:rPr>
        <w:t xml:space="preserve"> </w:t>
      </w:r>
      <w:r w:rsidDel="00000000" w:rsidR="00000000" w:rsidRPr="00000000">
        <w:rPr>
          <w:vertAlign w:val="baseline"/>
          <w:rtl w:val="0"/>
        </w:rPr>
        <w:t xml:space="preserve">Yapılan muafiyet/intibak sonuçlarına itirazlar, muafiyet işleminin kesinleşip öğrenciye bildirildiği tarihten itibaren en geç 5 iş günü içinde ilgili birime yapılır.</w:t>
      </w:r>
    </w:p>
    <w:p w:rsidR="00000000" w:rsidDel="00000000" w:rsidP="00000000" w:rsidRDefault="00000000" w:rsidRPr="00000000">
      <w:pPr>
        <w:pBdr/>
        <w:contextualSpacing w:val="0"/>
        <w:jc w:val="both"/>
        <w:rPr>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Başka kurumlarda öğrenim gören öğrencilere ait muafiyet esasları</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MADDE 7- </w:t>
      </w:r>
      <w:r w:rsidDel="00000000" w:rsidR="00000000" w:rsidRPr="00000000">
        <w:rPr>
          <w:vertAlign w:val="baseline"/>
          <w:rtl w:val="0"/>
        </w:rPr>
        <w:t xml:space="preserve">(1) Bandırma Onyedi Eylül Üniversitesi programlarından birinde kayıtlı bulunan öğrencilerden, YÖK tarafından denkliği kabul edilen başka bir yükseköğretim kurumunun programlarında özel öğrenci statüsünde ders alanlar, Farabi Programı, Uluslararası Değişim Programları (Dersin alındığı ülkenin ders kodu ile öğrencinin notunun girilmesi) ile yurtdışında öğrenim görenler için harf notu uygulanır</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pPr>
        <w:pBdr/>
        <w:contextualSpacing w:val="0"/>
        <w:jc w:val="both"/>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pPr>
        <w:pBdr/>
        <w:contextualSpacing w:val="0"/>
        <w:jc w:val="both"/>
        <w:rPr>
          <w:b w:val="0"/>
          <w:vertAlign w:val="baseline"/>
        </w:rPr>
      </w:pPr>
      <w:r w:rsidDel="00000000" w:rsidR="00000000" w:rsidRPr="00000000">
        <w:rPr>
          <w:rtl w:val="0"/>
        </w:rPr>
      </w:r>
    </w:p>
    <w:p w:rsidR="00000000" w:rsidDel="00000000" w:rsidP="00000000" w:rsidRDefault="00000000" w:rsidRPr="00000000">
      <w:pPr>
        <w:pBdr/>
        <w:contextualSpacing w:val="0"/>
        <w:jc w:val="both"/>
        <w:rPr>
          <w:b w:val="0"/>
          <w:vertAlign w:val="baseline"/>
        </w:rPr>
      </w:pPr>
      <w:r w:rsidDel="00000000" w:rsidR="00000000" w:rsidRPr="00000000">
        <w:rPr>
          <w:rtl w:val="0"/>
        </w:rPr>
      </w:r>
    </w:p>
    <w:p w:rsidR="00000000" w:rsidDel="00000000" w:rsidP="00000000" w:rsidRDefault="00000000" w:rsidRPr="00000000">
      <w:pPr>
        <w:pBdr/>
        <w:contextualSpacing w:val="0"/>
        <w:jc w:val="both"/>
        <w:rPr>
          <w:b w:val="0"/>
          <w:vertAlign w:val="baseline"/>
        </w:rPr>
      </w:pP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Hüküm bulunmayan haller</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MADDE 8- </w:t>
      </w:r>
      <w:r w:rsidDel="00000000" w:rsidR="00000000" w:rsidRPr="00000000">
        <w:rPr>
          <w:vertAlign w:val="baseline"/>
          <w:rtl w:val="0"/>
        </w:rPr>
        <w:t xml:space="preserve">(1)</w:t>
      </w:r>
      <w:r w:rsidDel="00000000" w:rsidR="00000000" w:rsidRPr="00000000">
        <w:rPr>
          <w:b w:val="1"/>
          <w:vertAlign w:val="baseline"/>
          <w:rtl w:val="0"/>
        </w:rPr>
        <w:t xml:space="preserve"> </w:t>
      </w:r>
      <w:r w:rsidDel="00000000" w:rsidR="00000000" w:rsidRPr="00000000">
        <w:rPr>
          <w:vertAlign w:val="baseline"/>
          <w:rtl w:val="0"/>
        </w:rPr>
        <w:t xml:space="preserve">Bu Yönergede hüküm bulunmayan hallerde ilgili diğer mevzuat hükümleri ve Senato kararları uygulanır.</w:t>
      </w:r>
    </w:p>
    <w:p w:rsidR="00000000" w:rsidDel="00000000" w:rsidP="00000000" w:rsidRDefault="00000000" w:rsidRPr="00000000">
      <w:pPr>
        <w:pBdr/>
        <w:contextualSpacing w:val="0"/>
        <w:jc w:val="both"/>
        <w:rPr>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Yürürlük</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MADDE 9- </w:t>
      </w:r>
      <w:r w:rsidDel="00000000" w:rsidR="00000000" w:rsidRPr="00000000">
        <w:rPr>
          <w:vertAlign w:val="baseline"/>
          <w:rtl w:val="0"/>
        </w:rPr>
        <w:t xml:space="preserve">(1)</w:t>
      </w:r>
      <w:r w:rsidDel="00000000" w:rsidR="00000000" w:rsidRPr="00000000">
        <w:rPr>
          <w:b w:val="1"/>
          <w:vertAlign w:val="baseline"/>
          <w:rtl w:val="0"/>
        </w:rPr>
        <w:t xml:space="preserve"> </w:t>
      </w:r>
      <w:r w:rsidDel="00000000" w:rsidR="00000000" w:rsidRPr="00000000">
        <w:rPr>
          <w:vertAlign w:val="baseline"/>
          <w:rtl w:val="0"/>
        </w:rPr>
        <w:t xml:space="preserve">Bu Yönerge Bandırma Onyedi Eylül Üniversitesi Senatosunda kabul edildikten sonra yürürlüğe girer.</w:t>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Yürütme</w:t>
      </w:r>
      <w:r w:rsidDel="00000000" w:rsidR="00000000" w:rsidRPr="00000000">
        <w:rPr>
          <w:rtl w:val="0"/>
        </w:rPr>
      </w:r>
    </w:p>
    <w:p w:rsidR="00000000" w:rsidDel="00000000" w:rsidP="00000000" w:rsidRDefault="00000000" w:rsidRPr="00000000">
      <w:pPr>
        <w:pBdr/>
        <w:ind w:firstLine="708"/>
        <w:contextualSpacing w:val="0"/>
        <w:jc w:val="both"/>
        <w:rPr>
          <w:vertAlign w:val="baseline"/>
        </w:rPr>
      </w:pPr>
      <w:r w:rsidDel="00000000" w:rsidR="00000000" w:rsidRPr="00000000">
        <w:rPr>
          <w:b w:val="1"/>
          <w:vertAlign w:val="baseline"/>
          <w:rtl w:val="0"/>
        </w:rPr>
        <w:t xml:space="preserve">MADDE 10- </w:t>
      </w:r>
      <w:r w:rsidDel="00000000" w:rsidR="00000000" w:rsidRPr="00000000">
        <w:rPr>
          <w:vertAlign w:val="baseline"/>
          <w:rtl w:val="0"/>
        </w:rPr>
        <w:t xml:space="preserve">(1) Bu Yönerge hükümlerini Bandırma Onyedi Eylül Üniversitesi Rektörü yürütür.</w:t>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